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РОЗВІДКИ ЧОРНОМОРСЬКОЇ МІЖНАРОДНОЇ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ПІДВОДНОЇ АРХЕОЛОГІЧНОЇ ЕКСПЕДИЦІЇ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ІА НАНУ В АКВАТОРІЇ КІНБУРНСЬКОЇ КОСИ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2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о. ТЕНДРІВСЬКА КОСА у 2018 р.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У 2018 р. Чорноморська міжнародна підводна археологічна експедиція ІА НАН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у співпраці з МНУ імені В.О. Сухомлинського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>проведено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підводні розвідки з метою виявлення нових археологічних пам’яток в акваторії о.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Тендрівської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коси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Кінбурнської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коси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.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Також проводилась батиметрична зйомка поверхні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дна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.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До складу експедиції входили м. н. с. відділу археології Північно-Західного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Причорномор’я та Криму ІА НАН України В. Є.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Герасімов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(начальник експедиції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),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н. с. відділу археології ранніх слов’ян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новобудовних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досліджень ІА НАН України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Р. М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BookAntiqua" w:hAnsi="Times New Roman" w:cs="Times New Roman"/>
          <w:sz w:val="28"/>
          <w:szCs w:val="28"/>
          <w:lang w:val="uk-UA"/>
        </w:rPr>
        <w:t>Р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ейда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(заступник начальника), М. Авраменко м. н. с. відділу археології ранніх слов’ян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новобудовних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досліджень ІА НАН України, м. н. с. НІА З «Ольвія»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,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ст. викладач МНУ імені В. О . Сухомлинського О. І . Смирнов, співробітники Інституту археології Варшавського університету (Польща): д. Р .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Карасевіч-Щипьорскі</w:t>
      </w:r>
      <w:proofErr w:type="spellEnd"/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ІА ВУ (керівник з польського боку), Г.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Ковальськи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(керівник підводного загону з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польського боку)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>.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У 2018 р. проведені роботи на чорноморському шельфі в районі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Тендрівської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коси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Кінбурнської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коси з метою укладання карти підводних археологічних об’єктів та отримання матеріалів для типологічного аналізу та поповнення музейних збірок.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Результатом досліджень стала також проведена батиметрична зйомка акваторії прибережних районів. Роботи на об’єктах обмежувались розвідками,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проспекціями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поверхні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дна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за допомогою гідролокатора бічного огляду (ГБО)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фотоі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відеозйомкою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.</w:t>
      </w:r>
    </w:p>
    <w:p w:rsidR="00162554" w:rsidRPr="00162554" w:rsidRDefault="00162554" w:rsidP="0016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 w:cs="Times New Roman"/>
          <w:sz w:val="28"/>
          <w:szCs w:val="28"/>
          <w:lang w:val="uk-UA"/>
        </w:rPr>
      </w:pP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В акваторії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Кінбурнської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коси виявлено античне вітрильне судно кінця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IV-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початку III ст. до н. е. Виявлено добре збережений корпус судна довжиною в 9,45 м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з баластним камінням, та керамічний матеріал з вантажу (амфори</w:t>
      </w:r>
      <w:r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–</w:t>
      </w:r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Сінопи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, Колхіди та Косу та </w:t>
      </w:r>
      <w:proofErr w:type="spellStart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кратероподібний</w:t>
      </w:r>
      <w:proofErr w:type="spellEnd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сосуд аттичного виробництва), свинцеву обшив</w:t>
      </w:r>
      <w:bookmarkStart w:id="0" w:name="_GoBack"/>
      <w:bookmarkEnd w:id="0"/>
      <w:r w:rsidRPr="00162554">
        <w:rPr>
          <w:rFonts w:ascii="Times New Roman" w:eastAsia="BookAntiqua" w:hAnsi="Times New Roman" w:cs="Times New Roman"/>
          <w:sz w:val="28"/>
          <w:szCs w:val="28"/>
          <w:lang w:val="uk-UA"/>
        </w:rPr>
        <w:t>ку та елементи конструкції античного вітрильника.</w:t>
      </w:r>
    </w:p>
    <w:sectPr w:rsidR="00162554" w:rsidRPr="0016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D"/>
    <w:rsid w:val="00162554"/>
    <w:rsid w:val="003B1AF9"/>
    <w:rsid w:val="00C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2</cp:revision>
  <dcterms:created xsi:type="dcterms:W3CDTF">2018-11-28T13:59:00Z</dcterms:created>
  <dcterms:modified xsi:type="dcterms:W3CDTF">2018-11-28T14:05:00Z</dcterms:modified>
</cp:coreProperties>
</file>